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C0D" w:rsidRDefault="007A0C0D" w:rsidP="007A0C0D">
      <w:r>
        <w:rPr>
          <w:rFonts w:hint="eastAsia"/>
        </w:rPr>
        <w:t>ものつくり大学　授業アンケートの結果について</w:t>
      </w:r>
      <w:r w:rsidR="002007D8">
        <w:rPr>
          <w:rFonts w:hint="eastAsia"/>
        </w:rPr>
        <w:t>（2020年度版）</w:t>
      </w:r>
    </w:p>
    <w:p w:rsidR="007A0C0D" w:rsidRDefault="007A0C0D" w:rsidP="007A0C0D"/>
    <w:p w:rsidR="005E225E" w:rsidRDefault="005E225E" w:rsidP="005E225E">
      <w:pPr>
        <w:pStyle w:val="a3"/>
        <w:numPr>
          <w:ilvl w:val="0"/>
          <w:numId w:val="2"/>
        </w:numPr>
        <w:ind w:leftChars="0"/>
      </w:pPr>
      <w:r>
        <w:rPr>
          <w:rFonts w:hint="eastAsia"/>
        </w:rPr>
        <w:t>授業アンケートへの取組みについて</w:t>
      </w:r>
    </w:p>
    <w:p w:rsidR="007A0C0D" w:rsidRDefault="007A0C0D" w:rsidP="007A0C0D">
      <w:r>
        <w:rPr>
          <w:rFonts w:hint="eastAsia"/>
        </w:rPr>
        <w:t xml:space="preserve">　ものつくり大学では、開学後2002年度から授業アンケート調査に着手し、2009年度の改訂の後、2011年度から現在の15項目と自由記述の形式でのアンケート調査を実施している。また、</w:t>
      </w:r>
      <w:r w:rsidR="005E225E">
        <w:rPr>
          <w:rFonts w:hint="eastAsia"/>
        </w:rPr>
        <w:t>アンケート結果は全教職員で共有できるようにするとともに、結果のフィードバックを受けた教員が改善計画を提出し、その計改善計画についても共有することで、FDの取組みに繋げるものとしている。</w:t>
      </w:r>
    </w:p>
    <w:p w:rsidR="005E225E" w:rsidRDefault="005E225E" w:rsidP="007A0C0D"/>
    <w:p w:rsidR="005E225E" w:rsidRDefault="005E225E" w:rsidP="005E225E">
      <w:pPr>
        <w:pStyle w:val="a3"/>
        <w:numPr>
          <w:ilvl w:val="0"/>
          <w:numId w:val="2"/>
        </w:numPr>
        <w:ind w:leftChars="0"/>
      </w:pPr>
      <w:r>
        <w:rPr>
          <w:rFonts w:hint="eastAsia"/>
        </w:rPr>
        <w:t>授業アンケートの実施状況</w:t>
      </w:r>
    </w:p>
    <w:p w:rsidR="005E225E" w:rsidRDefault="005E225E" w:rsidP="005E225E">
      <w:pPr>
        <w:pStyle w:val="a3"/>
        <w:numPr>
          <w:ilvl w:val="1"/>
          <w:numId w:val="2"/>
        </w:numPr>
        <w:ind w:leftChars="0"/>
      </w:pPr>
      <w:r>
        <w:rPr>
          <w:rFonts w:hint="eastAsia"/>
        </w:rPr>
        <w:t>アンケートの実施時期</w:t>
      </w:r>
    </w:p>
    <w:p w:rsidR="005E225E" w:rsidRDefault="005E225E" w:rsidP="005E225E">
      <w:pPr>
        <w:pStyle w:val="a3"/>
        <w:numPr>
          <w:ilvl w:val="0"/>
          <w:numId w:val="3"/>
        </w:numPr>
        <w:ind w:leftChars="0" w:left="1134"/>
      </w:pPr>
      <w:r>
        <w:rPr>
          <w:rFonts w:hint="eastAsia"/>
        </w:rPr>
        <w:t>毎年度2クォータずつ、すべての授業科目を対象として、クォータの最後の2</w:t>
      </w:r>
      <w:r w:rsidR="00200630">
        <w:rPr>
          <w:rFonts w:hint="eastAsia"/>
        </w:rPr>
        <w:t>回</w:t>
      </w:r>
      <w:r>
        <w:rPr>
          <w:rFonts w:hint="eastAsia"/>
        </w:rPr>
        <w:t>の授業のいずれかで実施する。</w:t>
      </w:r>
    </w:p>
    <w:p w:rsidR="005E225E" w:rsidRDefault="00200630" w:rsidP="005E225E">
      <w:pPr>
        <w:pStyle w:val="a3"/>
        <w:numPr>
          <w:ilvl w:val="0"/>
          <w:numId w:val="3"/>
        </w:numPr>
        <w:ind w:leftChars="0" w:left="1134"/>
      </w:pPr>
      <w:r>
        <w:rPr>
          <w:rFonts w:hint="eastAsia"/>
        </w:rPr>
        <w:t>調査用紙を教員が配布し、その授業時間</w:t>
      </w:r>
      <w:r w:rsidR="005E225E">
        <w:rPr>
          <w:rFonts w:hint="eastAsia"/>
        </w:rPr>
        <w:t>中で回収する。</w:t>
      </w:r>
    </w:p>
    <w:p w:rsidR="005E225E" w:rsidRDefault="005E225E" w:rsidP="005E225E">
      <w:pPr>
        <w:pStyle w:val="a3"/>
        <w:numPr>
          <w:ilvl w:val="0"/>
          <w:numId w:val="3"/>
        </w:numPr>
        <w:ind w:leftChars="0" w:left="1134"/>
      </w:pPr>
      <w:r>
        <w:rPr>
          <w:rFonts w:hint="eastAsia"/>
        </w:rPr>
        <w:t>データの集計とフィードバックは教務係で行う。</w:t>
      </w:r>
    </w:p>
    <w:p w:rsidR="005E225E" w:rsidRDefault="005E225E" w:rsidP="005E225E">
      <w:pPr>
        <w:pStyle w:val="a3"/>
        <w:ind w:leftChars="0" w:left="1134"/>
      </w:pPr>
    </w:p>
    <w:p w:rsidR="005E225E" w:rsidRDefault="005E225E" w:rsidP="005E225E">
      <w:pPr>
        <w:pStyle w:val="a3"/>
        <w:numPr>
          <w:ilvl w:val="1"/>
          <w:numId w:val="2"/>
        </w:numPr>
        <w:ind w:leftChars="0"/>
      </w:pPr>
      <w:r>
        <w:rPr>
          <w:rFonts w:hint="eastAsia"/>
        </w:rPr>
        <w:t>アンケートの設問項目（2011年度以降）</w:t>
      </w:r>
    </w:p>
    <w:p w:rsidR="007A0C0D" w:rsidRDefault="007A0C0D" w:rsidP="005E225E">
      <w:pPr>
        <w:pStyle w:val="a3"/>
        <w:numPr>
          <w:ilvl w:val="0"/>
          <w:numId w:val="1"/>
        </w:numPr>
        <w:ind w:leftChars="0" w:left="1134"/>
      </w:pPr>
      <w:r w:rsidRPr="007A0C0D">
        <w:rPr>
          <w:rFonts w:hint="eastAsia"/>
        </w:rPr>
        <w:t>この授業を受講する前に、シラバスを読んだり教員や先輩に聞くなど授業内容や授業運営方法についてよく調べた</w:t>
      </w:r>
      <w:r>
        <w:rPr>
          <w:rFonts w:hint="eastAsia"/>
        </w:rPr>
        <w:t>。</w:t>
      </w:r>
    </w:p>
    <w:p w:rsidR="007A0C0D" w:rsidRDefault="007A0C0D" w:rsidP="005E225E">
      <w:pPr>
        <w:pStyle w:val="a3"/>
        <w:numPr>
          <w:ilvl w:val="0"/>
          <w:numId w:val="1"/>
        </w:numPr>
        <w:ind w:leftChars="0" w:left="1134"/>
      </w:pPr>
      <w:r w:rsidRPr="007A0C0D">
        <w:t>授業には毎回出席し、授業中は必要な事項をノートに記録したり、不明な点を質問したりするなど、授業に積極的に取り組んだ</w:t>
      </w:r>
      <w:r>
        <w:rPr>
          <w:rFonts w:hint="eastAsia"/>
        </w:rPr>
        <w:t>。</w:t>
      </w:r>
    </w:p>
    <w:p w:rsidR="007A0C0D" w:rsidRDefault="007A0C0D" w:rsidP="005E225E">
      <w:pPr>
        <w:pStyle w:val="a3"/>
        <w:numPr>
          <w:ilvl w:val="0"/>
          <w:numId w:val="1"/>
        </w:numPr>
        <w:ind w:leftChars="0" w:left="1134"/>
      </w:pPr>
      <w:r w:rsidRPr="007A0C0D">
        <w:t>成績評価につながる課題（レポート、提出物、作品など）や、試験のための準備に積極的に取り組んだ</w:t>
      </w:r>
      <w:r>
        <w:rPr>
          <w:rFonts w:hint="eastAsia"/>
        </w:rPr>
        <w:t>。</w:t>
      </w:r>
    </w:p>
    <w:p w:rsidR="007A0C0D" w:rsidRDefault="007A0C0D" w:rsidP="005E225E">
      <w:pPr>
        <w:pStyle w:val="a3"/>
        <w:numPr>
          <w:ilvl w:val="0"/>
          <w:numId w:val="1"/>
        </w:numPr>
        <w:ind w:leftChars="0" w:left="1134"/>
      </w:pPr>
      <w:r w:rsidRPr="007A0C0D">
        <w:t>この授業に関して、時間外学習（予習・復習、関連資料の調査、技能向上のための練習など）に積極的に取り組んだ。</w:t>
      </w:r>
    </w:p>
    <w:p w:rsidR="007A0C0D" w:rsidRDefault="007A0C0D" w:rsidP="005E225E">
      <w:pPr>
        <w:pStyle w:val="a3"/>
        <w:numPr>
          <w:ilvl w:val="0"/>
          <w:numId w:val="1"/>
        </w:numPr>
        <w:ind w:leftChars="0" w:left="1134"/>
      </w:pPr>
      <w:r w:rsidRPr="007A0C0D">
        <w:t>この授業科目が目標としている技能や技術、知識・理論等が十分に理解・修得できた</w:t>
      </w:r>
      <w:r>
        <w:rPr>
          <w:rFonts w:hint="eastAsia"/>
        </w:rPr>
        <w:t>。</w:t>
      </w:r>
    </w:p>
    <w:p w:rsidR="007A0C0D" w:rsidRDefault="007A0C0D" w:rsidP="005E225E">
      <w:pPr>
        <w:pStyle w:val="a3"/>
        <w:numPr>
          <w:ilvl w:val="0"/>
          <w:numId w:val="1"/>
        </w:numPr>
        <w:ind w:leftChars="0" w:left="1134"/>
      </w:pPr>
      <w:r w:rsidRPr="007A0C0D">
        <w:t>この授業科目</w:t>
      </w:r>
      <w:r w:rsidRPr="007A0C0D">
        <w:rPr>
          <w:rFonts w:hint="eastAsia"/>
        </w:rPr>
        <w:t>の扱う分野や、関連する他の分野に関する技能・技術・知識などについて、問題意識や興味・関心が深まった</w:t>
      </w:r>
      <w:r>
        <w:rPr>
          <w:rFonts w:hint="eastAsia"/>
        </w:rPr>
        <w:t>。</w:t>
      </w:r>
    </w:p>
    <w:p w:rsidR="007A0C0D" w:rsidRDefault="007A0C0D" w:rsidP="005E225E">
      <w:pPr>
        <w:pStyle w:val="a3"/>
        <w:numPr>
          <w:ilvl w:val="0"/>
          <w:numId w:val="1"/>
        </w:numPr>
        <w:ind w:leftChars="0" w:left="1134"/>
      </w:pPr>
      <w:r w:rsidRPr="007A0C0D">
        <w:t>この授業科目を受講する前の期待や好奇心を満たすことができた。</w:t>
      </w:r>
    </w:p>
    <w:p w:rsidR="007A0C0D" w:rsidRDefault="007A0C0D" w:rsidP="005E225E">
      <w:pPr>
        <w:pStyle w:val="a3"/>
        <w:numPr>
          <w:ilvl w:val="0"/>
          <w:numId w:val="1"/>
        </w:numPr>
        <w:ind w:leftChars="0" w:left="1134"/>
      </w:pPr>
      <w:r w:rsidRPr="007A0C0D">
        <w:t>授業内容は授業計画（シラバス）通りに実施された</w:t>
      </w:r>
      <w:r>
        <w:rPr>
          <w:rFonts w:hint="eastAsia"/>
        </w:rPr>
        <w:t>。</w:t>
      </w:r>
    </w:p>
    <w:p w:rsidR="007A0C0D" w:rsidRDefault="007A0C0D" w:rsidP="005E225E">
      <w:pPr>
        <w:pStyle w:val="a3"/>
        <w:numPr>
          <w:ilvl w:val="0"/>
          <w:numId w:val="1"/>
        </w:numPr>
        <w:ind w:leftChars="0" w:left="1134"/>
      </w:pPr>
      <w:r w:rsidRPr="007A0C0D">
        <w:t>担当教員の説明はわかりやすかった</w:t>
      </w:r>
      <w:r>
        <w:rPr>
          <w:rFonts w:hint="eastAsia"/>
        </w:rPr>
        <w:t>。</w:t>
      </w:r>
    </w:p>
    <w:p w:rsidR="007A0C0D" w:rsidRDefault="007A0C0D" w:rsidP="005E225E">
      <w:pPr>
        <w:pStyle w:val="a3"/>
        <w:numPr>
          <w:ilvl w:val="0"/>
          <w:numId w:val="1"/>
        </w:numPr>
        <w:ind w:leftChars="0" w:left="1134"/>
      </w:pPr>
      <w:r w:rsidRPr="007A0C0D">
        <w:t>教科書、プリント、プレゼンテーション資料、実習教材などが分かりやすくこの授業にとって適切であった</w:t>
      </w:r>
      <w:r>
        <w:rPr>
          <w:rFonts w:hint="eastAsia"/>
        </w:rPr>
        <w:t>。</w:t>
      </w:r>
    </w:p>
    <w:p w:rsidR="007A0C0D" w:rsidRDefault="007A0C0D" w:rsidP="005E225E">
      <w:pPr>
        <w:pStyle w:val="a3"/>
        <w:numPr>
          <w:ilvl w:val="0"/>
          <w:numId w:val="1"/>
        </w:numPr>
        <w:ind w:leftChars="0" w:left="1134"/>
      </w:pPr>
      <w:r w:rsidRPr="007A0C0D">
        <w:t>授業に集中できる環境の確保や、授業活性化に向けての学生への働きかけなど、担当教員は授業の円滑な進行に努めていた</w:t>
      </w:r>
      <w:r>
        <w:rPr>
          <w:rFonts w:hint="eastAsia"/>
        </w:rPr>
        <w:t>。</w:t>
      </w:r>
    </w:p>
    <w:p w:rsidR="007A0C0D" w:rsidRDefault="007A0C0D" w:rsidP="005E225E">
      <w:pPr>
        <w:pStyle w:val="a3"/>
        <w:numPr>
          <w:ilvl w:val="0"/>
          <w:numId w:val="1"/>
        </w:numPr>
        <w:ind w:leftChars="0" w:left="1134"/>
      </w:pPr>
      <w:r w:rsidRPr="007A0C0D">
        <w:t>この授業の扱った内容の分量は適切であった</w:t>
      </w:r>
      <w:r>
        <w:rPr>
          <w:rFonts w:hint="eastAsia"/>
        </w:rPr>
        <w:t>。</w:t>
      </w:r>
    </w:p>
    <w:p w:rsidR="007A0C0D" w:rsidRDefault="007A0C0D" w:rsidP="005E225E">
      <w:pPr>
        <w:pStyle w:val="a3"/>
        <w:numPr>
          <w:ilvl w:val="0"/>
          <w:numId w:val="1"/>
        </w:numPr>
        <w:ind w:leftChars="0" w:left="1134"/>
      </w:pPr>
      <w:r w:rsidRPr="007A0C0D">
        <w:t>この授業科目の内</w:t>
      </w:r>
      <w:r w:rsidR="00200630">
        <w:rPr>
          <w:rFonts w:hint="eastAsia"/>
        </w:rPr>
        <w:t>容のレベル（専門性、難易度など）は、配当学年や学期</w:t>
      </w:r>
      <w:r w:rsidRPr="007A0C0D">
        <w:rPr>
          <w:rFonts w:hint="eastAsia"/>
        </w:rPr>
        <w:t>、事前に要求される知識などから考えて適切であった</w:t>
      </w:r>
      <w:r>
        <w:rPr>
          <w:rFonts w:hint="eastAsia"/>
        </w:rPr>
        <w:t>。</w:t>
      </w:r>
    </w:p>
    <w:p w:rsidR="007A0C0D" w:rsidRDefault="007A0C0D" w:rsidP="005E225E">
      <w:pPr>
        <w:pStyle w:val="a3"/>
        <w:numPr>
          <w:ilvl w:val="0"/>
          <w:numId w:val="1"/>
        </w:numPr>
        <w:ind w:leftChars="0" w:left="1134"/>
      </w:pPr>
      <w:r w:rsidRPr="007A0C0D">
        <w:t>この授業への担当教員の取り組みは十分に評価できる</w:t>
      </w:r>
      <w:r>
        <w:rPr>
          <w:rFonts w:hint="eastAsia"/>
        </w:rPr>
        <w:t>。</w:t>
      </w:r>
    </w:p>
    <w:p w:rsidR="00220811" w:rsidRDefault="007A0C0D" w:rsidP="005E225E">
      <w:pPr>
        <w:pStyle w:val="a3"/>
        <w:numPr>
          <w:ilvl w:val="0"/>
          <w:numId w:val="1"/>
        </w:numPr>
        <w:ind w:leftChars="0" w:left="1134"/>
      </w:pPr>
      <w:r w:rsidRPr="007A0C0D">
        <w:t>この授業科目を受講して有意義であった</w:t>
      </w:r>
      <w:r>
        <w:rPr>
          <w:rFonts w:hint="eastAsia"/>
        </w:rPr>
        <w:t>。</w:t>
      </w:r>
    </w:p>
    <w:p w:rsidR="007A0C0D" w:rsidRDefault="007A0C0D" w:rsidP="007A0C0D"/>
    <w:p w:rsidR="005E225E" w:rsidRPr="005E225E" w:rsidRDefault="005E225E" w:rsidP="005E225E">
      <w:pPr>
        <w:pStyle w:val="a3"/>
        <w:numPr>
          <w:ilvl w:val="0"/>
          <w:numId w:val="2"/>
        </w:numPr>
        <w:ind w:leftChars="0"/>
      </w:pPr>
      <w:r>
        <w:rPr>
          <w:rFonts w:hint="eastAsia"/>
        </w:rPr>
        <w:lastRenderedPageBreak/>
        <w:t>授業アンケート結果（20</w:t>
      </w:r>
      <w:r w:rsidR="002007D8">
        <w:rPr>
          <w:rFonts w:hint="eastAsia"/>
        </w:rPr>
        <w:t>16</w:t>
      </w:r>
      <w:r>
        <w:rPr>
          <w:rFonts w:hint="eastAsia"/>
        </w:rPr>
        <w:t>年度～20</w:t>
      </w:r>
      <w:r w:rsidR="002007D8">
        <w:rPr>
          <w:rFonts w:hint="eastAsia"/>
        </w:rPr>
        <w:t>19</w:t>
      </w:r>
      <w:r>
        <w:rPr>
          <w:rFonts w:hint="eastAsia"/>
        </w:rPr>
        <w:t>年度）</w:t>
      </w:r>
    </w:p>
    <w:p w:rsidR="005E225E" w:rsidRDefault="00302533" w:rsidP="00302533">
      <w:pPr>
        <w:pStyle w:val="a3"/>
        <w:numPr>
          <w:ilvl w:val="1"/>
          <w:numId w:val="2"/>
        </w:numPr>
        <w:ind w:leftChars="0"/>
      </w:pPr>
      <w:r>
        <w:rPr>
          <w:rFonts w:hint="eastAsia"/>
        </w:rPr>
        <w:t>アンケートの回収状況</w:t>
      </w:r>
    </w:p>
    <w:p w:rsidR="00C1667C" w:rsidRDefault="00B97906" w:rsidP="00C1667C">
      <w:pPr>
        <w:pStyle w:val="a3"/>
        <w:ind w:leftChars="0" w:left="1140"/>
      </w:pPr>
      <w:bookmarkStart w:id="0" w:name="_GoBack"/>
      <w:bookmarkEnd w:id="0"/>
      <w:r w:rsidRPr="00B97906">
        <w:drawing>
          <wp:inline distT="0" distB="0" distL="0" distR="0">
            <wp:extent cx="5400040" cy="135626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356266"/>
                    </a:xfrm>
                    <a:prstGeom prst="rect">
                      <a:avLst/>
                    </a:prstGeom>
                    <a:noFill/>
                    <a:ln>
                      <a:noFill/>
                    </a:ln>
                  </pic:spPr>
                </pic:pic>
              </a:graphicData>
            </a:graphic>
          </wp:inline>
        </w:drawing>
      </w:r>
    </w:p>
    <w:p w:rsidR="00302533" w:rsidRDefault="00302533" w:rsidP="00302533">
      <w:pPr>
        <w:pStyle w:val="a3"/>
        <w:numPr>
          <w:ilvl w:val="1"/>
          <w:numId w:val="2"/>
        </w:numPr>
        <w:ind w:leftChars="0"/>
      </w:pPr>
      <w:r>
        <w:rPr>
          <w:rFonts w:hint="eastAsia"/>
        </w:rPr>
        <w:t>アンケートの集約結果</w:t>
      </w:r>
    </w:p>
    <w:p w:rsidR="00302533" w:rsidRDefault="00302533" w:rsidP="00302533">
      <w:pPr>
        <w:pStyle w:val="a3"/>
        <w:ind w:leftChars="0" w:left="1140"/>
      </w:pPr>
      <w:r>
        <w:rPr>
          <w:rFonts w:hint="eastAsia"/>
        </w:rPr>
        <w:t>学科ごとにアンケートの実施クォータを時系列の棒グラフで示すものとした。</w:t>
      </w:r>
    </w:p>
    <w:p w:rsidR="00302533" w:rsidRDefault="00302533" w:rsidP="00302533">
      <w:pPr>
        <w:pStyle w:val="a3"/>
        <w:ind w:leftChars="0" w:left="1140"/>
      </w:pPr>
      <w:r>
        <w:rPr>
          <w:rFonts w:hint="eastAsia"/>
        </w:rPr>
        <w:t>回答は、5段階の選択肢の最も上位の「そう思う」を5ポイント、最も下位の「そう思わない」を1ポイントとして集計整理を行った。</w:t>
      </w:r>
    </w:p>
    <w:p w:rsidR="00302533" w:rsidRDefault="00302533" w:rsidP="00302533">
      <w:pPr>
        <w:pStyle w:val="a3"/>
        <w:numPr>
          <w:ilvl w:val="0"/>
          <w:numId w:val="4"/>
        </w:numPr>
        <w:ind w:leftChars="0"/>
      </w:pPr>
      <w:r>
        <w:rPr>
          <w:rFonts w:hint="eastAsia"/>
        </w:rPr>
        <w:t>総合機械（旧製造）学科</w:t>
      </w:r>
    </w:p>
    <w:p w:rsidR="00302533" w:rsidRDefault="00794F22" w:rsidP="00302533">
      <w:pPr>
        <w:pStyle w:val="a3"/>
        <w:ind w:leftChars="0" w:left="1271"/>
      </w:pPr>
      <w:r>
        <w:rPr>
          <w:noProof/>
        </w:rPr>
        <mc:AlternateContent>
          <mc:Choice Requires="wps">
            <w:drawing>
              <wp:anchor distT="0" distB="0" distL="114300" distR="114300" simplePos="0" relativeHeight="251659264" behindDoc="0" locked="0" layoutInCell="1" allowOverlap="1" wp14:anchorId="236A96B8" wp14:editId="4B24D4CE">
                <wp:simplePos x="0" y="0"/>
                <wp:positionH relativeFrom="column">
                  <wp:posOffset>1022985</wp:posOffset>
                </wp:positionH>
                <wp:positionV relativeFrom="paragraph">
                  <wp:posOffset>1163955</wp:posOffset>
                </wp:positionV>
                <wp:extent cx="5059680" cy="15240"/>
                <wp:effectExtent l="0" t="0" r="26670" b="22860"/>
                <wp:wrapNone/>
                <wp:docPr id="3" name="直線コネクタ 3"/>
                <wp:cNvGraphicFramePr/>
                <a:graphic xmlns:a="http://schemas.openxmlformats.org/drawingml/2006/main">
                  <a:graphicData uri="http://schemas.microsoft.com/office/word/2010/wordprocessingShape">
                    <wps:wsp>
                      <wps:cNvCnPr/>
                      <wps:spPr>
                        <a:xfrm flipV="1">
                          <a:off x="0" y="0"/>
                          <a:ext cx="50596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08257" id="直線コネクタ 3"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80.55pt,91.65pt" to="478.9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FE3AEAAMUDAAAOAAAAZHJzL2Uyb0RvYy54bWysU82O0zAQviPxDpbvNGmXrpao6R52BRcE&#10;FSzcvc64sdZ/sk2TXsuZF4CH4ADSHnmYHvY1GDttQPxICO3FytjffDPfN5PFea8V2YAP0pqaTicl&#10;JWC4baRZ1/TN1dNHZ5SEyEzDlDVQ0y0Eer58+GDRuQpmtrWqAU+QxISqczVtY3RVUQTegmZhYh0Y&#10;fBTWaxYx9Oui8axDdq2KWVmeFp31jfOWQwh4ezk80mXmFwJ4fClEgEhUTbG3mE+fz+t0FssFq9ae&#10;uVbyQxvsP7rQTBosOlJdssjIOy9/o9KSexusiBNudWGFkByyBlQzLX9R87plDrIWNCe40aZwf7T8&#10;xWbliWxqekKJYRpHdPfp693tx/3uy/79h/3u8373jZwknzoXKoRfmJU/RMGtfBLdC6+JUNK9xRXI&#10;NqAw0meXt6PL0EfC8XJezp+cnuEwOL5N57PHeQrFQJPonA/xGVhN0kdNlTTJBFaxzfMQsTRCjxAM&#10;UltDI/krbhUksDKvQKAwLDi0lFcKLpQnG4bL0NxMkyjkysiUIqRSY1KZS/416YBNaZDX7F8TR3Su&#10;aE0cE7U01v+pauyPrYoBf1Q9aE2yr22zzWPJduCuZGWHvU7L+HOc03/8fcvvAAAA//8DAFBLAwQU&#10;AAYACAAAACEA/68wb90AAAALAQAADwAAAGRycy9kb3ducmV2LnhtbEyPQU/DMAyF70j8h8hI3FhS&#10;prZbaTqNSYgz2y67pY1pKxqnNNlW/j3eCW5+9tPz98rN7AZxwSn0njQkCwUCqfG2p1bD8fD2tAIR&#10;oiFrBk+o4QcDbKr7u9IU1l/pAy/72AoOoVAYDV2MYyFlaDp0Jiz8iMS3Tz85E1lOrbSTuXK4G+Sz&#10;Upl0pif+0JkRdx02X/uz03B4d2quY79D+s7V9vSaZnRKtX58mLcvICLO8c8MN3xGh4qZan8mG8TA&#10;OksStvKwWi5BsGOd5msQ9W2T5iCrUv7vUP0CAAD//wMAUEsBAi0AFAAGAAgAAAAhALaDOJL+AAAA&#10;4QEAABMAAAAAAAAAAAAAAAAAAAAAAFtDb250ZW50X1R5cGVzXS54bWxQSwECLQAUAAYACAAAACEA&#10;OP0h/9YAAACUAQAACwAAAAAAAAAAAAAAAAAvAQAAX3JlbHMvLnJlbHNQSwECLQAUAAYACAAAACEA&#10;NW6xRNwBAADFAwAADgAAAAAAAAAAAAAAAAAuAgAAZHJzL2Uyb0RvYy54bWxQSwECLQAUAAYACAAA&#10;ACEA/68wb90AAAALAQAADwAAAAAAAAAAAAAAAAA2BAAAZHJzL2Rvd25yZXYueG1sUEsFBgAAAAAE&#10;AAQA8wAAAEAFAAAAAA==&#10;" strokecolor="black [3200]" strokeweight=".5pt">
                <v:stroke joinstyle="miter"/>
              </v:line>
            </w:pict>
          </mc:Fallback>
        </mc:AlternateContent>
      </w:r>
      <w:r w:rsidR="002007D8">
        <w:rPr>
          <w:noProof/>
        </w:rPr>
        <w:drawing>
          <wp:inline distT="0" distB="0" distL="0" distR="0" wp14:anchorId="67021312">
            <wp:extent cx="5383530" cy="27508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3530" cy="2750820"/>
                    </a:xfrm>
                    <a:prstGeom prst="rect">
                      <a:avLst/>
                    </a:prstGeom>
                    <a:noFill/>
                    <a:ln>
                      <a:noFill/>
                    </a:ln>
                  </pic:spPr>
                </pic:pic>
              </a:graphicData>
            </a:graphic>
          </wp:inline>
        </w:drawing>
      </w:r>
    </w:p>
    <w:p w:rsidR="00302533" w:rsidRDefault="00302533" w:rsidP="00302533">
      <w:pPr>
        <w:pStyle w:val="a3"/>
        <w:numPr>
          <w:ilvl w:val="0"/>
          <w:numId w:val="4"/>
        </w:numPr>
        <w:ind w:leftChars="0"/>
      </w:pPr>
      <w:r>
        <w:rPr>
          <w:rFonts w:hint="eastAsia"/>
        </w:rPr>
        <w:t>建設学科</w:t>
      </w:r>
    </w:p>
    <w:p w:rsidR="002007D8" w:rsidRDefault="00F96304" w:rsidP="002007D8">
      <w:pPr>
        <w:pStyle w:val="a3"/>
        <w:ind w:leftChars="0" w:left="1271"/>
      </w:pPr>
      <w:r>
        <w:rPr>
          <w:noProof/>
        </w:rPr>
        <mc:AlternateContent>
          <mc:Choice Requires="wps">
            <w:drawing>
              <wp:anchor distT="0" distB="0" distL="114300" distR="114300" simplePos="0" relativeHeight="251661312" behindDoc="0" locked="0" layoutInCell="1" allowOverlap="1" wp14:anchorId="76372FC9" wp14:editId="3E312110">
                <wp:simplePos x="0" y="0"/>
                <wp:positionH relativeFrom="column">
                  <wp:posOffset>1033780</wp:posOffset>
                </wp:positionH>
                <wp:positionV relativeFrom="paragraph">
                  <wp:posOffset>1146175</wp:posOffset>
                </wp:positionV>
                <wp:extent cx="5059680" cy="15240"/>
                <wp:effectExtent l="0" t="0" r="26670" b="22860"/>
                <wp:wrapNone/>
                <wp:docPr id="5" name="直線コネクタ 5"/>
                <wp:cNvGraphicFramePr/>
                <a:graphic xmlns:a="http://schemas.openxmlformats.org/drawingml/2006/main">
                  <a:graphicData uri="http://schemas.microsoft.com/office/word/2010/wordprocessingShape">
                    <wps:wsp>
                      <wps:cNvCnPr/>
                      <wps:spPr>
                        <a:xfrm flipV="1">
                          <a:off x="0" y="0"/>
                          <a:ext cx="5059680" cy="1524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73C01BE" id="直線コネクタ 5"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81.4pt,90.25pt" to="479.8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38QEAAJYDAAAOAAAAZHJzL2Uyb0RvYy54bWysU72OEzEQ7pF4B8s92SSw0bHK5oqLjgZB&#10;JA76Oa+dteQ/eUw2aUPNC8BDUIBEycOkuNdg7IQoQIfYwhp7PJ/n++bb+fXWGraREbV3LZ+MxpxJ&#10;J3yn3brlb+9un1xxhglcB8Y72fKdRH69ePxoPoRGTn3vTScjIxCHzRBa3qcUmqpC0UsLOPJBOkoq&#10;Hy0k2sZ11UUYCN2aajoez6rBxy5ELyQinS6PSb4o+EpJkV4rhTIx03LqLZU1lvU+r9ViDs06Qui1&#10;OLUB/9CFBe3o0TPUEhKw91H/BWW1iB69SiPhbeWV0kIWDsRmMv6DzZsegixcSBwMZ5nw/8GKV5tV&#10;ZLprec2ZA0sjevj87eH7p8P+6+HDx8P+y2H/g9VZpyFgQ9dv3CqedhhWMZPeqmiZMjq8IwsUGYgY&#10;2xaVd2eV5TYxQYf1uH4+u6JhCMpN6umzMoXqCJPhQsT0QnrLctByo10WARrYvMRET9PVX1fysfO3&#10;2pgySOPY0PLZ0zqjA9lJGUgU2kAE0a05A7Mmn4oUCyJ6o7tcnXFwhzcmsg2QVchhnR/uqGXODGCi&#10;BPEoX5aCOvitNLezBOyPxSV1dJbViexttG351WW1cflFWQx6IpXlPQqao3vf7YrOVd7R8MujJ6Nm&#10;d13uKb78nRY/AQAA//8DAFBLAwQUAAYACAAAACEA9q+AJeEAAAALAQAADwAAAGRycy9kb3ducmV2&#10;LnhtbEyPwU7DMBBE70j8g7VI3KjTSI2aNE6FQKg3EClF9ObGbhxhr6PYaVO+nu0Jbju7o9k35Xpy&#10;lp30EDqPAuazBJjGxqsOWwEf25eHJbAQJSppPWoBFx1gXd3elLJQ/ozv+lTHllEIhkIKMDH2Beeh&#10;MdrJMPO9Rrod/eBkJDm0XA3yTOHO8jRJMu5kh/TByF4/Gd1816MTsH81m43cj7vp7fMy//nitu6e&#10;d0Lc302PK2BRT/HPDFd8QoeKmA5+RBWYJZ2lhB5pWCYLYOTIF3kG7HDdpDnwquT/O1S/AAAA//8D&#10;AFBLAQItABQABgAIAAAAIQC2gziS/gAAAOEBAAATAAAAAAAAAAAAAAAAAAAAAABbQ29udGVudF9U&#10;eXBlc10ueG1sUEsBAi0AFAAGAAgAAAAhADj9If/WAAAAlAEAAAsAAAAAAAAAAAAAAAAALwEAAF9y&#10;ZWxzLy5yZWxzUEsBAi0AFAAGAAgAAAAhAM6wr/fxAQAAlgMAAA4AAAAAAAAAAAAAAAAALgIAAGRy&#10;cy9lMm9Eb2MueG1sUEsBAi0AFAAGAAgAAAAhAPavgCXhAAAACwEAAA8AAAAAAAAAAAAAAAAASwQA&#10;AGRycy9kb3ducmV2LnhtbFBLBQYAAAAABAAEAPMAAABZBQAAAAA=&#10;" strokecolor="windowText" strokeweight=".5pt">
                <v:stroke joinstyle="miter"/>
              </v:line>
            </w:pict>
          </mc:Fallback>
        </mc:AlternateContent>
      </w:r>
      <w:r>
        <w:rPr>
          <w:noProof/>
        </w:rPr>
        <w:drawing>
          <wp:inline distT="0" distB="0" distL="0" distR="0" wp14:anchorId="17D2DA0B">
            <wp:extent cx="5394960" cy="2796540"/>
            <wp:effectExtent l="0" t="0" r="0" b="38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4960" cy="2796540"/>
                    </a:xfrm>
                    <a:prstGeom prst="rect">
                      <a:avLst/>
                    </a:prstGeom>
                    <a:noFill/>
                    <a:ln>
                      <a:noFill/>
                    </a:ln>
                  </pic:spPr>
                </pic:pic>
              </a:graphicData>
            </a:graphic>
          </wp:inline>
        </w:drawing>
      </w:r>
    </w:p>
    <w:p w:rsidR="00302533" w:rsidRPr="00302533" w:rsidRDefault="00302533" w:rsidP="00C1667C">
      <w:pPr>
        <w:pStyle w:val="a3"/>
        <w:ind w:leftChars="0" w:left="1271"/>
      </w:pPr>
    </w:p>
    <w:sectPr w:rsidR="00302533" w:rsidRPr="00302533" w:rsidSect="00E2748C">
      <w:pgSz w:w="11906" w:h="16838"/>
      <w:pgMar w:top="709"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F22" w:rsidRDefault="00794F22" w:rsidP="00794F22">
      <w:r>
        <w:separator/>
      </w:r>
    </w:p>
  </w:endnote>
  <w:endnote w:type="continuationSeparator" w:id="0">
    <w:p w:rsidR="00794F22" w:rsidRDefault="00794F22" w:rsidP="0079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F22" w:rsidRDefault="00794F22" w:rsidP="00794F22">
      <w:r>
        <w:separator/>
      </w:r>
    </w:p>
  </w:footnote>
  <w:footnote w:type="continuationSeparator" w:id="0">
    <w:p w:rsidR="00794F22" w:rsidRDefault="00794F22" w:rsidP="00794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1F03"/>
    <w:multiLevelType w:val="hybridMultilevel"/>
    <w:tmpl w:val="F6BC1D8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E13E3E"/>
    <w:multiLevelType w:val="hybridMultilevel"/>
    <w:tmpl w:val="1CF67AEE"/>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1B2D3AAD"/>
    <w:multiLevelType w:val="hybridMultilevel"/>
    <w:tmpl w:val="8D0A24E4"/>
    <w:lvl w:ilvl="0" w:tplc="C902FCF4">
      <w:start w:val="1"/>
      <w:numFmt w:val="decimal"/>
      <w:lvlText w:val="%1."/>
      <w:lvlJc w:val="left"/>
      <w:pPr>
        <w:ind w:left="360" w:hanging="360"/>
      </w:pPr>
      <w:rPr>
        <w:rFonts w:hint="default"/>
      </w:rPr>
    </w:lvl>
    <w:lvl w:ilvl="1" w:tplc="9A44C5FE">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047493"/>
    <w:multiLevelType w:val="hybridMultilevel"/>
    <w:tmpl w:val="C8F4B7DA"/>
    <w:lvl w:ilvl="0" w:tplc="05444C7C">
      <w:start w:val="1"/>
      <w:numFmt w:val="decimal"/>
      <w:lvlText w:val="問%1"/>
      <w:lvlJc w:val="left"/>
      <w:pPr>
        <w:ind w:left="588" w:hanging="5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0D"/>
    <w:rsid w:val="00046944"/>
    <w:rsid w:val="00200630"/>
    <w:rsid w:val="002007D8"/>
    <w:rsid w:val="00220811"/>
    <w:rsid w:val="0030189D"/>
    <w:rsid w:val="00302533"/>
    <w:rsid w:val="005E225E"/>
    <w:rsid w:val="00794F22"/>
    <w:rsid w:val="007A0C0D"/>
    <w:rsid w:val="00872AA3"/>
    <w:rsid w:val="008B0434"/>
    <w:rsid w:val="00AE4A62"/>
    <w:rsid w:val="00B97906"/>
    <w:rsid w:val="00C1667C"/>
    <w:rsid w:val="00D33426"/>
    <w:rsid w:val="00D35DD9"/>
    <w:rsid w:val="00E2748C"/>
    <w:rsid w:val="00F924D3"/>
    <w:rsid w:val="00F96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483A021-1E5F-4119-B7C5-3EADC170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C0D"/>
    <w:pPr>
      <w:ind w:leftChars="400" w:left="840"/>
    </w:pPr>
  </w:style>
  <w:style w:type="paragraph" w:styleId="a4">
    <w:name w:val="header"/>
    <w:basedOn w:val="a"/>
    <w:link w:val="a5"/>
    <w:uiPriority w:val="99"/>
    <w:unhideWhenUsed/>
    <w:rsid w:val="00794F22"/>
    <w:pPr>
      <w:tabs>
        <w:tab w:val="center" w:pos="4252"/>
        <w:tab w:val="right" w:pos="8504"/>
      </w:tabs>
      <w:snapToGrid w:val="0"/>
    </w:pPr>
  </w:style>
  <w:style w:type="character" w:customStyle="1" w:styleId="a5">
    <w:name w:val="ヘッダー (文字)"/>
    <w:basedOn w:val="a0"/>
    <w:link w:val="a4"/>
    <w:uiPriority w:val="99"/>
    <w:rsid w:val="00794F22"/>
  </w:style>
  <w:style w:type="paragraph" w:styleId="a6">
    <w:name w:val="footer"/>
    <w:basedOn w:val="a"/>
    <w:link w:val="a7"/>
    <w:uiPriority w:val="99"/>
    <w:unhideWhenUsed/>
    <w:rsid w:val="00794F22"/>
    <w:pPr>
      <w:tabs>
        <w:tab w:val="center" w:pos="4252"/>
        <w:tab w:val="right" w:pos="8504"/>
      </w:tabs>
      <w:snapToGrid w:val="0"/>
    </w:pPr>
  </w:style>
  <w:style w:type="character" w:customStyle="1" w:styleId="a7">
    <w:name w:val="フッター (文字)"/>
    <w:basedOn w:val="a0"/>
    <w:link w:val="a6"/>
    <w:uiPriority w:val="99"/>
    <w:rsid w:val="00794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dc:creator>
  <cp:keywords/>
  <dc:description/>
  <cp:lastModifiedBy>　宮本</cp:lastModifiedBy>
  <cp:revision>5</cp:revision>
  <dcterms:created xsi:type="dcterms:W3CDTF">2020-10-28T20:24:00Z</dcterms:created>
  <dcterms:modified xsi:type="dcterms:W3CDTF">2020-10-29T05:18:00Z</dcterms:modified>
</cp:coreProperties>
</file>